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1F" w:rsidRDefault="002B7C1F">
      <w:pP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Pr="002B7C1F" w:rsidRDefault="002B7C1F" w:rsidP="002B7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  <w:t>Comprehensive Testing Strategy Letter to Families</w:t>
      </w:r>
    </w:p>
    <w:p w:rsidR="002B7C1F" w:rsidRPr="002B7C1F" w:rsidRDefault="002B7C1F" w:rsidP="002B7C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Dear Families and Caregivers,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In an effort to mitigate COVID-19 in our schools and community, Atlanta Public Schools (APS) has adopted a Comprehensive COVID-19 Testing Strategy in collaboration with public health officials, community partners, universities, and healthcare organizations.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This strategy works with our school-based APS Care Centers and community resources to provide testing for the following groups: 1. s</w:t>
      </w:r>
      <w:r w:rsidRPr="002B7C1F">
        <w:rPr>
          <w:rFonts w:ascii="Century Gothic" w:eastAsia="Times New Roman" w:hAnsi="Century Gothic" w:cs="Times New Roman"/>
          <w:color w:val="000000"/>
        </w:rPr>
        <w:t>tudents, teachers, and staff with symptoms identified through the health screening protocols. 2. students, teachers, and staff who have had contact with someone with COVID-19 in the school or workplace.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3. a</w:t>
      </w:r>
      <w:r w:rsidRPr="002B7C1F">
        <w:rPr>
          <w:rFonts w:ascii="Century Gothic" w:eastAsia="Times New Roman" w:hAnsi="Century Gothic" w:cs="Times New Roman"/>
          <w:color w:val="000000"/>
        </w:rPr>
        <w:t xml:space="preserve">ll students, faculty, and staff with possible exposure in the context of 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outbreak settings. 4. surveillance testing for individuals who are asymptomatic.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There are four testing options currently available in our comprehensive testing strategy: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Surveillance testing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– This test detects the presence of COVID-19 even in individuals who may be asymptomatic. The benefits of surveillance testing include allowing APS to test, receive test results (within 24 hours) and notify individuals of a clinically significant reading before coming to school or work.  APS has begun the process of rolling out surveillance testing as grade bands return to in-person learning. 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School-based health clinics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–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As part of our testing strategy, we have developed cluster-based testing options (Jackson, South Atlanta, Washington, and Mays) at our APS Health Clinics for students and staff. Click </w:t>
      </w:r>
      <w:hyperlink r:id="rId8" w:history="1">
        <w:r w:rsidRPr="002B7C1F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here</w:t>
        </w:r>
      </w:hyperlink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for school-based locations and times or visit </w:t>
      </w:r>
      <w:hyperlink r:id="rId9" w:history="1">
        <w:r w:rsidRPr="002B7C1F">
          <w:rPr>
            <w:rFonts w:ascii="Century Gothic" w:eastAsia="Times New Roman" w:hAnsi="Century Gothic" w:cs="Times New Roman"/>
            <w:color w:val="0563C1"/>
            <w:sz w:val="24"/>
            <w:szCs w:val="24"/>
            <w:u w:val="single"/>
          </w:rPr>
          <w:t>http://bit.ly/APSCOVIDTesting</w:t>
        </w:r>
      </w:hyperlink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 xml:space="preserve">APS COVID-19 Drive-Up &amp; Walk-Up Testing at Douglass High School 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–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Held in partnership with Viral Solutions, LLC., and Pediatric Researchers from Emory University, testing is open to </w:t>
      </w:r>
      <w:r w:rsidRPr="002B7C1F">
        <w:rPr>
          <w:rFonts w:ascii="Century Gothic" w:eastAsia="Times New Roman" w:hAnsi="Century Gothic" w:cs="Times New Roman"/>
          <w:b/>
          <w:bCs/>
          <w:color w:val="2E2F2F"/>
          <w:sz w:val="24"/>
          <w:szCs w:val="24"/>
        </w:rPr>
        <w:t>ALL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students, staff, and families five days per week. It will launch on Feb. 22, 2021.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Community Organized Relief Effort (CORE) Response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– Community-based testing options are available to APS students, staff, and families within the city of Atlanta. In-home, at school and worksite testing options are available on demand.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 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Keeping our students and staff safe is our top priority. Implementing comprehensive testing strategies is one way we minimize any exposure to COVID-19 in our schools. 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For more information and updates on the District’s health and mitigation strategies, visit</w:t>
      </w:r>
      <w:hyperlink r:id="rId10" w:history="1">
        <w:r w:rsidRPr="002B7C1F">
          <w:rPr>
            <w:rFonts w:ascii="Century Gothic" w:eastAsia="Times New Roman" w:hAnsi="Century Gothic" w:cs="Times New Roman"/>
            <w:color w:val="000000"/>
            <w:sz w:val="24"/>
            <w:szCs w:val="24"/>
            <w:u w:val="single"/>
          </w:rPr>
          <w:t xml:space="preserve"> </w:t>
        </w:r>
        <w:r w:rsidRPr="002B7C1F">
          <w:rPr>
            <w:rFonts w:ascii="Century Gothic" w:eastAsia="Times New Roman" w:hAnsi="Century Gothic" w:cs="Times New Roman"/>
            <w:color w:val="0563C1"/>
            <w:sz w:val="24"/>
            <w:szCs w:val="24"/>
            <w:u w:val="single"/>
          </w:rPr>
          <w:t>www.atlantapublicschools.us/APSProtects</w:t>
        </w:r>
      </w:hyperlink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. For more details on our return to in-person learning, visit</w:t>
      </w:r>
      <w:hyperlink r:id="rId11" w:history="1">
        <w:r w:rsidRPr="002B7C1F">
          <w:rPr>
            <w:rFonts w:ascii="Century Gothic" w:eastAsia="Times New Roman" w:hAnsi="Century Gothic" w:cs="Times New Roman"/>
            <w:color w:val="000000"/>
            <w:sz w:val="24"/>
            <w:szCs w:val="24"/>
            <w:u w:val="single"/>
          </w:rPr>
          <w:t xml:space="preserve"> </w:t>
        </w:r>
        <w:r w:rsidRPr="002B7C1F">
          <w:rPr>
            <w:rFonts w:ascii="Century Gothic" w:eastAsia="Times New Roman" w:hAnsi="Century Gothic" w:cs="Times New Roman"/>
            <w:color w:val="0563C1"/>
            <w:sz w:val="24"/>
            <w:szCs w:val="24"/>
            <w:u w:val="single"/>
          </w:rPr>
          <w:t>www.atlantapublicschools.us/reopen</w:t>
        </w:r>
      </w:hyperlink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Default="002B7C1F" w:rsidP="002B7C1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Sincerely,</w:t>
      </w:r>
    </w:p>
    <w:p w:rsidR="0096424C" w:rsidRDefault="0096424C" w:rsidP="0096424C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Jean Childs Young Admin Team</w:t>
      </w:r>
    </w:p>
    <w:p w:rsidR="0096424C" w:rsidRDefault="0096424C" w:rsidP="0096424C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Kara Stimpson-Principal </w:t>
      </w:r>
    </w:p>
    <w:p w:rsidR="0096424C" w:rsidRDefault="0096424C" w:rsidP="0096424C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Rodrick Hister-6</w:t>
      </w:r>
      <w:r w:rsidRPr="0096424C">
        <w:rPr>
          <w:rFonts w:ascii="Century Gothic" w:eastAsia="Times New Roman" w:hAnsi="Century Gothic" w:cs="Times New Roman"/>
          <w:color w:val="000000"/>
          <w:sz w:val="24"/>
          <w:szCs w:val="24"/>
          <w:vertAlign w:val="superscript"/>
        </w:rPr>
        <w:t>th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Grade </w:t>
      </w:r>
    </w:p>
    <w:p w:rsidR="0096424C" w:rsidRDefault="0096424C" w:rsidP="0096424C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Ronald Garlington-7</w:t>
      </w:r>
      <w:r w:rsidRPr="0096424C">
        <w:rPr>
          <w:rFonts w:ascii="Century Gothic" w:eastAsia="Times New Roman" w:hAnsi="Century Gothic" w:cs="Times New Roman"/>
          <w:color w:val="000000"/>
          <w:sz w:val="24"/>
          <w:szCs w:val="24"/>
          <w:vertAlign w:val="superscript"/>
        </w:rPr>
        <w:t>th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Grade</w:t>
      </w:r>
    </w:p>
    <w:p w:rsidR="0096424C" w:rsidRDefault="0096424C" w:rsidP="00964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Wanda Morre-Williams-8</w:t>
      </w:r>
      <w:r w:rsidRPr="0096424C">
        <w:rPr>
          <w:rFonts w:ascii="Century Gothic" w:eastAsia="Times New Roman" w:hAnsi="Century Gothic" w:cs="Times New Roman"/>
          <w:color w:val="000000"/>
          <w:sz w:val="24"/>
          <w:szCs w:val="24"/>
          <w:vertAlign w:val="superscript"/>
        </w:rPr>
        <w:t>th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Grade</w:t>
      </w:r>
    </w:p>
    <w:p w:rsidR="0096424C" w:rsidRPr="002B7C1F" w:rsidRDefault="0096424C" w:rsidP="00964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Default="002B7C1F" w:rsidP="002B7C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</w:p>
    <w:p w:rsidR="002B7C1F" w:rsidRPr="002B7C1F" w:rsidRDefault="002B7C1F" w:rsidP="001A1555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  <w:r w:rsidRPr="002B7C1F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  <w:t>Comprehensive Testing Strategy Letter to Families</w:t>
      </w:r>
      <w:r w:rsidRPr="002B7C1F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- Spanish</w:t>
      </w:r>
    </w:p>
    <w:p w:rsidR="002B7C1F" w:rsidRPr="002B7C1F" w:rsidRDefault="002B7C1F" w:rsidP="002B7C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Estimadas familias y tutores: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En un esfuerzo por mitigar el COVID-19 en nuestras escuelas y comunidad, Atlanta Public Schools (APS) ha adoptado una estrategia integral de pruebas de COVID-19 en colaboración con funcionarios de salud pública, socios comunitarios, universidades y organizaciones de atención médica.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Esta estrategia funciona con nuestros Centros de Cuidado de APS localizados en la escuela y los recursos comunitarios para proporcionar pruebas a los siguientes grupos: 1. Estudiantes, maestros y personal con síntomas, identificados a través de los protocolos de cuestionarios de salud. 2. Estudiantes, maestros y personal que hayan tenido contacto con alguien con COVID-19 en la escuela o el lugar de trabajo. 3. Todos los estudiantes, profesores y personal con posible exposición, en el caso de un brote. 4. Pruebas de detección para personas asintomáticas.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Actualmente tenemos cuatro opciones de pruebas disponibles en nuestra estrategia integral de pruebas: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Pruebas de detección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- Esta prueba detecta la presencia de COVID-19, incluso en personas asintomáticas.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Los beneficios de las pruebas de detección incluyen, permitir que APS realice pruebas, reciba los resultados de las pruebas (dentro de las 24 horas) y notifique a las personas sobre los resultados clínicamente significativos, antes de que vayan a la escuela o al trabajo.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APS ha comenzado el proceso de implementación de pruebas de detección a medida que los diferentes grados regresan al aprendizaje en persona.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 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Clínicas de salud en las escuelas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-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Como parte de nuestra estrategia de pruebas, hemos desarrollado opciones basadas en grupos (Jackson, South Atlanta, Washington y Mays) en nuestras Clínicas de Salud de APS para estudiantes y personal.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Haga clic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0000FF"/>
          <w:sz w:val="24"/>
          <w:szCs w:val="24"/>
          <w:u w:val="single"/>
        </w:rPr>
        <w:t>aquí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para ubicaciones en las escuelas y horarios o visite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hyperlink r:id="rId12" w:history="1">
        <w:r w:rsidRPr="002B7C1F">
          <w:rPr>
            <w:rFonts w:ascii="Century Gothic" w:eastAsia="Times New Roman" w:hAnsi="Century Gothic" w:cs="Times New Roman"/>
            <w:color w:val="0563C1"/>
            <w:sz w:val="24"/>
            <w:szCs w:val="24"/>
            <w:u w:val="single"/>
          </w:rPr>
          <w:t>http://bit.ly/APSCOVIDTesting</w:t>
        </w:r>
      </w:hyperlink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Pruebas APS de COVID-19 En automóvil &amp; caminando en Douglass High School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-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En asociación con Viral Solutions, LLC., e investigadores pediátricos de la Universidad de Emory, las pruebas están abiertas a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b/>
          <w:bCs/>
          <w:color w:val="2E2F2F"/>
          <w:sz w:val="24"/>
          <w:szCs w:val="24"/>
        </w:rPr>
        <w:t>TODOS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 xml:space="preserve"> los estudiantes, personal y familias cinco días a la semana.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Comenzarán el 22 de febrero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de 2021.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FF"/>
          <w:sz w:val="24"/>
          <w:szCs w:val="24"/>
        </w:rPr>
        <w:t>Respuesta al Esfuerzo de Ayuda Organizada por la Comunidad (CORE)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- Las opciones de pruebas basadas en la comunidad están disponibles para los estudiantes, el personal y las familias de APS dentro de la ciudad de Atlanta. Las opciones de pruebas en el hogar, la escuela y el lugar de trabajo están disponibles si se solicitan.    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Mantener a nuestros estudiantes y personal seguros es de máxima prioridad.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La implementación de estrategias integrales de pruebas es una forma en que minimizamos cualquier exposición al COVID-19 en nuestras escuelas.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2B7C1F">
        <w:rPr>
          <w:rFonts w:ascii="Century Gothic" w:eastAsia="Times New Roman" w:hAnsi="Century Gothic" w:cs="Times New Roman"/>
          <w:color w:val="2E2F2F"/>
          <w:sz w:val="24"/>
          <w:szCs w:val="24"/>
        </w:rPr>
        <w:t> 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Para obtener más información y actualizaciones sobre las estrategias de mitigación y salud del Distrito, visite </w:t>
      </w:r>
      <w:r w:rsidRPr="002B7C1F">
        <w:rPr>
          <w:rFonts w:ascii="Century Gothic" w:eastAsia="Times New Roman" w:hAnsi="Century Gothic" w:cs="Times New Roman"/>
          <w:color w:val="0563C1"/>
          <w:sz w:val="24"/>
          <w:szCs w:val="24"/>
          <w:u w:val="single"/>
        </w:rPr>
        <w:t>www.atlantapublicschools.us/APSProtects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Para obtener más detalles sobre nuestro regreso al aprendizaje en persona, visite </w:t>
      </w:r>
      <w:r w:rsidRPr="002B7C1F">
        <w:rPr>
          <w:rFonts w:ascii="Century Gothic" w:eastAsia="Times New Roman" w:hAnsi="Century Gothic" w:cs="Times New Roman"/>
          <w:color w:val="0563C1"/>
          <w:sz w:val="24"/>
          <w:szCs w:val="24"/>
          <w:u w:val="single"/>
        </w:rPr>
        <w:t>www.atlantapublicschools.us/reopen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Default="002B7C1F" w:rsidP="002B7C1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Atentamente,</w:t>
      </w:r>
    </w:p>
    <w:p w:rsidR="0096424C" w:rsidRPr="002B7C1F" w:rsidRDefault="0096424C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Young MS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Default="002B7C1F">
      <w:pP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  <w:br w:type="page"/>
      </w:r>
    </w:p>
    <w:p w:rsidR="002B7C1F" w:rsidRPr="002B7C1F" w:rsidRDefault="002B7C1F" w:rsidP="002B7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  <w:t>Health and Safety Protocols Letter to Staff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  <w:t>Health and Safety Protocols Reminder Letter to Families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Dear Team,  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Keeping our staff and students safe is a top priority, particularly as we return to in-person teaching and learning. Here are a few reminders for all families as we have begun to return to in-person learning.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B84207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207"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>P</w:t>
      </w:r>
      <w:r w:rsidR="002B7C1F" w:rsidRPr="002B7C1F"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>arents are n</w:t>
      </w:r>
      <w:r w:rsidRPr="00B84207"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 xml:space="preserve">ot allowed to </w:t>
      </w:r>
      <w:r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 xml:space="preserve">visit classrooms, </w:t>
      </w:r>
      <w:r w:rsidR="001A1555"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>parents</w:t>
      </w:r>
      <w:r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 xml:space="preserve"> are permitted to enter the front office to pick up a </w:t>
      </w:r>
      <w:r w:rsidR="002B7C1F" w:rsidRPr="002B7C1F"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 xml:space="preserve">child </w:t>
      </w:r>
      <w:r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 xml:space="preserve">that </w:t>
      </w:r>
      <w:r w:rsidR="002B7C1F" w:rsidRPr="002B7C1F"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>is sic</w:t>
      </w:r>
      <w:r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>k</w:t>
      </w:r>
      <w:r w:rsidRPr="00B84207"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>.   The only outside food t</w:t>
      </w:r>
      <w:r w:rsidR="001A1555"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>hat will be allowed is lunch.  Students’ c</w:t>
      </w:r>
      <w:r w:rsidRPr="00B84207"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>ell phones will</w:t>
      </w:r>
      <w:r w:rsidR="001A1555"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 xml:space="preserve"> </w:t>
      </w:r>
      <w:r w:rsidRPr="00B84207"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 xml:space="preserve">be collected at the beginning of </w:t>
      </w:r>
      <w:r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>the day</w:t>
      </w:r>
      <w:r w:rsidRPr="00B84207"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 xml:space="preserve"> and </w:t>
      </w:r>
      <w:r w:rsidR="001A1555"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>secured</w:t>
      </w:r>
      <w:r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 xml:space="preserve"> until designated times</w:t>
      </w:r>
      <w:r w:rsidR="001A1555"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 xml:space="preserve"> allowed by the teacher. </w:t>
      </w:r>
      <w:r w:rsidRPr="00B84207">
        <w:rPr>
          <w:rFonts w:ascii="Century Gothic" w:eastAsia="Times New Roman" w:hAnsi="Century Gothic" w:cs="Times New Roman"/>
          <w:iCs/>
          <w:color w:val="000000"/>
          <w:sz w:val="24"/>
          <w:szCs w:val="24"/>
          <w:shd w:val="clear" w:color="auto" w:fill="FFFF00"/>
        </w:rPr>
        <w:t xml:space="preserve">  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Health and Safety Reminders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: It is important for everyone to be mindful and follow the health and safety protocols in our building at all times.  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Follow the </w:t>
      </w:r>
      <w:r w:rsidRPr="002B7C1F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COVID-19 Screening Protocol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. Here are some other health screening questions to consider:</w:t>
      </w:r>
    </w:p>
    <w:p w:rsidR="002B7C1F" w:rsidRPr="002B7C1F" w:rsidRDefault="002B7C1F" w:rsidP="002B7C1F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Have you had any close contact in the last 14 days with someone with a diagnosis of COVID-19? </w:t>
      </w:r>
    </w:p>
    <w:p w:rsidR="002B7C1F" w:rsidRPr="002B7C1F" w:rsidRDefault="002B7C1F" w:rsidP="002B7C1F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Have you taken a COVID-19 test and are awaiting results based on potential exposure to a known case or other high-risk exposure?</w:t>
      </w:r>
    </w:p>
    <w:p w:rsidR="002B7C1F" w:rsidRPr="002B7C1F" w:rsidRDefault="002B7C1F" w:rsidP="002B7C1F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Have you taken a COVID-19 test and are awaiting results based on mild symptoms or overall feeling unwell?    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A4227A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Temperature screenings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are required upon entry into the building. If your temperature is above 100.4, you will be referred to your healthcare provider and asked to leave the building.</w:t>
      </w:r>
      <w:r w:rsidRPr="002B7C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7C1F" w:rsidRPr="002B7C1F" w:rsidRDefault="002B7C1F" w:rsidP="00C97350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Masks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are required to be worn at all times and as you move throughout the building. Masks are required for all contractors and visitors as well. </w:t>
      </w:r>
      <w:r w:rsidRPr="002B7C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7C1F" w:rsidRPr="002B7C1F" w:rsidRDefault="002B7C1F" w:rsidP="00BC24EB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Wash and sanitize your hands frequently.</w:t>
      </w:r>
      <w:bookmarkStart w:id="0" w:name="_GoBack"/>
      <w:bookmarkEnd w:id="0"/>
      <w:r w:rsidRPr="002B7C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7C1F" w:rsidRPr="002B7C1F" w:rsidRDefault="002B7C1F" w:rsidP="002B7C1F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Social distancing or physical distancing</w:t>
      </w: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is required.  To practice social or physical distancing, stay at least six feet or about two arms' length from other people.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Default="002B7C1F" w:rsidP="002B7C1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</w:pPr>
      <w:r w:rsidRPr="002B7C1F">
        <w:rPr>
          <w:rFonts w:ascii="Century Gothic" w:eastAsia="Times New Roman" w:hAnsi="Century Gothic" w:cs="Times New Roman"/>
          <w:color w:val="000000"/>
          <w:sz w:val="24"/>
          <w:szCs w:val="24"/>
        </w:rPr>
        <w:t>Thanks for your help in keeping us all safe!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  <w:br w:type="page"/>
      </w:r>
    </w:p>
    <w:p w:rsidR="002B7C1F" w:rsidRPr="002B7C1F" w:rsidRDefault="002B7C1F" w:rsidP="002B7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shd w:val="clear" w:color="auto" w:fill="FFFF00"/>
        </w:rPr>
        <w:t>Health and Safety Protocols Reminder  Letter to Families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Querido equipo,    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Mantener a nuestro personal y estudiantes seguros es de máxima prioridad, particularmente cuando regresamos a la enseñanza y al aprendizaje en persona. Aquí hay algunos recordatorios para todas las familias a medida que comenzamos el regreso al aprendizaje en persona.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Recordatorios de salud y seguridad</w:t>
      </w:r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: es importante para todos estar atentos y seguir los protocolos de salud y seguridad en nuestro edificio en todo momento.    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7C1F" w:rsidRPr="002B7C1F" w:rsidRDefault="002B7C1F" w:rsidP="002B7C1F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color w:val="000000"/>
          <w:sz w:val="23"/>
          <w:szCs w:val="23"/>
        </w:rPr>
      </w:pPr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Siga el </w:t>
      </w:r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Protocolo de detección COVID-19</w:t>
      </w:r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. Aquí hay algunas otras preguntas de revisión de salud que debe considerar:</w:t>
      </w:r>
    </w:p>
    <w:p w:rsidR="002B7C1F" w:rsidRPr="002B7C1F" w:rsidRDefault="002B7C1F" w:rsidP="002B7C1F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entury Gothic" w:eastAsia="Times New Roman" w:hAnsi="Century Gothic" w:cs="Times New Roman"/>
          <w:color w:val="000000"/>
          <w:sz w:val="23"/>
          <w:szCs w:val="23"/>
        </w:rPr>
      </w:pPr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En los últimos 14 días ¿ha tenido contacto cercano con alguien diagnosticado con COVID-19?</w:t>
      </w:r>
    </w:p>
    <w:p w:rsidR="002B7C1F" w:rsidRPr="002B7C1F" w:rsidRDefault="002B7C1F" w:rsidP="002B7C1F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entury Gothic" w:eastAsia="Times New Roman" w:hAnsi="Century Gothic" w:cs="Times New Roman"/>
          <w:color w:val="000000"/>
          <w:sz w:val="23"/>
          <w:szCs w:val="23"/>
        </w:rPr>
      </w:pPr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¿Ha realizado una prueba de COVID-19 y está esperando resultados basados en una posible exposición a un caso conocido u otra exposición de alto riesgo? </w:t>
      </w:r>
    </w:p>
    <w:p w:rsidR="002B7C1F" w:rsidRPr="002B7C1F" w:rsidRDefault="002B7C1F" w:rsidP="002B7C1F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entury Gothic" w:eastAsia="Times New Roman" w:hAnsi="Century Gothic" w:cs="Times New Roman"/>
          <w:color w:val="000000"/>
          <w:sz w:val="23"/>
          <w:szCs w:val="23"/>
        </w:rPr>
      </w:pPr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¿Se ha realizado una prueba de COVID-19 y está esperando resultados basados en síntomas leves o malestar general?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color w:val="000000"/>
          <w:sz w:val="23"/>
          <w:szCs w:val="23"/>
        </w:rPr>
      </w:pPr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Pruebas de temperatura:</w:t>
      </w:r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Se requieren al ingresar al edificio. Si su temperatura está por encima de 100.4, será referido a su proveedor de atención médica y se le pedirá que abandone el edificio.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7C1F" w:rsidRPr="002B7C1F" w:rsidRDefault="002B7C1F" w:rsidP="002B7C1F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color w:val="000000"/>
          <w:sz w:val="23"/>
          <w:szCs w:val="23"/>
        </w:rPr>
      </w:pPr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Mascarillas:</w:t>
      </w:r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Deben usarse en todo momento y mientras se mueve por el edificio. También se requieren mascarillas para todos los contratistas y visitantes.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7C1F" w:rsidRPr="002B7C1F" w:rsidRDefault="002B7C1F" w:rsidP="002B7C1F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color w:val="000000"/>
          <w:sz w:val="23"/>
          <w:szCs w:val="23"/>
        </w:rPr>
      </w:pPr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Lave y desinfecte sus manos con frecuencia.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7C1F" w:rsidRPr="002B7C1F" w:rsidRDefault="002B7C1F" w:rsidP="002B7C1F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Century Gothic" w:eastAsia="Times New Roman" w:hAnsi="Century Gothic" w:cs="Times New Roman"/>
          <w:color w:val="000000"/>
          <w:sz w:val="23"/>
          <w:szCs w:val="23"/>
        </w:rPr>
      </w:pPr>
      <w:r w:rsidRPr="002B7C1F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</w:rPr>
        <w:t>Distanciamiento social o distanciamiento físico</w:t>
      </w:r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 xml:space="preserve"> es requerido. Para practicar el distanciamiento social o físico, manténgase al menos a 6 pies (equivalente a dos brazos) de distancia de otras personas.</w:t>
      </w: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1F" w:rsidRPr="002B7C1F" w:rsidRDefault="002B7C1F" w:rsidP="002B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C1F">
        <w:rPr>
          <w:rFonts w:ascii="Century Gothic" w:eastAsia="Times New Roman" w:hAnsi="Century Gothic" w:cs="Times New Roman"/>
          <w:color w:val="000000"/>
          <w:sz w:val="23"/>
          <w:szCs w:val="23"/>
        </w:rPr>
        <w:t>¡Gracias por ayudarnos a mantener a todos a salvo!  </w:t>
      </w:r>
    </w:p>
    <w:sectPr w:rsidR="002B7C1F" w:rsidRPr="002B7C1F" w:rsidSect="002B7C1F">
      <w:headerReference w:type="default" r:id="rId13"/>
      <w:pgSz w:w="12240" w:h="15840"/>
      <w:pgMar w:top="1080" w:right="1440" w:bottom="108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39" w:rsidRDefault="00D40739" w:rsidP="002B7C1F">
      <w:pPr>
        <w:spacing w:after="0" w:line="240" w:lineRule="auto"/>
      </w:pPr>
      <w:r>
        <w:separator/>
      </w:r>
    </w:p>
  </w:endnote>
  <w:endnote w:type="continuationSeparator" w:id="0">
    <w:p w:rsidR="00D40739" w:rsidRDefault="00D40739" w:rsidP="002B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39" w:rsidRDefault="00D40739" w:rsidP="002B7C1F">
      <w:pPr>
        <w:spacing w:after="0" w:line="240" w:lineRule="auto"/>
      </w:pPr>
      <w:r>
        <w:separator/>
      </w:r>
    </w:p>
  </w:footnote>
  <w:footnote w:type="continuationSeparator" w:id="0">
    <w:p w:rsidR="00D40739" w:rsidRDefault="00D40739" w:rsidP="002B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1F" w:rsidRDefault="002B7C1F" w:rsidP="002B7C1F">
    <w:pPr>
      <w:pStyle w:val="Header"/>
      <w:jc w:val="center"/>
    </w:pPr>
    <w:r>
      <w:rPr>
        <w:noProof/>
      </w:rPr>
      <w:drawing>
        <wp:inline distT="0" distB="0" distL="0" distR="0">
          <wp:extent cx="718583" cy="834287"/>
          <wp:effectExtent l="0" t="0" r="571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oungCrest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862" cy="83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7C1F" w:rsidRDefault="002B7C1F" w:rsidP="002B7C1F">
    <w:pPr>
      <w:pStyle w:val="Header"/>
      <w:jc w:val="center"/>
      <w:rPr>
        <w:rFonts w:ascii="Century Gothic" w:hAnsi="Century Gothic"/>
      </w:rPr>
    </w:pPr>
    <w:r>
      <w:rPr>
        <w:rFonts w:ascii="Century Gothic" w:hAnsi="Century Gothic"/>
      </w:rPr>
      <w:t xml:space="preserve">Young Middle School </w:t>
    </w:r>
  </w:p>
  <w:p w:rsidR="002B7C1F" w:rsidRDefault="002B7C1F" w:rsidP="002B7C1F">
    <w:pPr>
      <w:pStyle w:val="Header"/>
      <w:jc w:val="center"/>
      <w:rPr>
        <w:rFonts w:ascii="Century Gothic" w:hAnsi="Century Gothic"/>
      </w:rPr>
    </w:pPr>
    <w:r>
      <w:rPr>
        <w:rFonts w:ascii="Century Gothic" w:hAnsi="Century Gothic"/>
      </w:rPr>
      <w:t>3116 Benjamin E Mays Dr. SW</w:t>
    </w:r>
  </w:p>
  <w:p w:rsidR="002B7C1F" w:rsidRPr="002B7C1F" w:rsidRDefault="002B7C1F" w:rsidP="002B7C1F">
    <w:pPr>
      <w:pStyle w:val="Header"/>
      <w:jc w:val="center"/>
      <w:rPr>
        <w:rFonts w:ascii="Century Gothic" w:hAnsi="Century Gothic"/>
      </w:rPr>
    </w:pPr>
    <w:r>
      <w:rPr>
        <w:rFonts w:ascii="Century Gothic" w:hAnsi="Century Gothic"/>
      </w:rPr>
      <w:t>Atlanta, Ga. 30311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FBC"/>
    <w:multiLevelType w:val="multilevel"/>
    <w:tmpl w:val="C090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423E0"/>
    <w:multiLevelType w:val="multilevel"/>
    <w:tmpl w:val="F8DE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A7839"/>
    <w:multiLevelType w:val="multilevel"/>
    <w:tmpl w:val="ED42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E5AE1"/>
    <w:multiLevelType w:val="multilevel"/>
    <w:tmpl w:val="4818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E1D2E"/>
    <w:multiLevelType w:val="multilevel"/>
    <w:tmpl w:val="3B6E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21E6B"/>
    <w:multiLevelType w:val="multilevel"/>
    <w:tmpl w:val="5950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80ABC"/>
    <w:multiLevelType w:val="multilevel"/>
    <w:tmpl w:val="F05C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11839"/>
    <w:multiLevelType w:val="multilevel"/>
    <w:tmpl w:val="CCF4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0388D"/>
    <w:multiLevelType w:val="multilevel"/>
    <w:tmpl w:val="8E4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56361"/>
    <w:multiLevelType w:val="multilevel"/>
    <w:tmpl w:val="9280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E87AC3"/>
    <w:multiLevelType w:val="multilevel"/>
    <w:tmpl w:val="B088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4130D"/>
    <w:multiLevelType w:val="multilevel"/>
    <w:tmpl w:val="2118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B0678"/>
    <w:multiLevelType w:val="multilevel"/>
    <w:tmpl w:val="B78C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D678E"/>
    <w:multiLevelType w:val="multilevel"/>
    <w:tmpl w:val="231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0126AF"/>
    <w:multiLevelType w:val="multilevel"/>
    <w:tmpl w:val="68B2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D792D"/>
    <w:multiLevelType w:val="multilevel"/>
    <w:tmpl w:val="313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4065FF"/>
    <w:multiLevelType w:val="multilevel"/>
    <w:tmpl w:val="7816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F340E"/>
    <w:multiLevelType w:val="multilevel"/>
    <w:tmpl w:val="6EDE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D48E0"/>
    <w:multiLevelType w:val="multilevel"/>
    <w:tmpl w:val="1F5C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15"/>
  </w:num>
  <w:num w:numId="9">
    <w:abstractNumId w:val="1"/>
  </w:num>
  <w:num w:numId="10">
    <w:abstractNumId w:val="14"/>
  </w:num>
  <w:num w:numId="11">
    <w:abstractNumId w:val="3"/>
  </w:num>
  <w:num w:numId="12">
    <w:abstractNumId w:val="8"/>
  </w:num>
  <w:num w:numId="13">
    <w:abstractNumId w:val="7"/>
  </w:num>
  <w:num w:numId="14">
    <w:abstractNumId w:val="9"/>
  </w:num>
  <w:num w:numId="15">
    <w:abstractNumId w:val="5"/>
  </w:num>
  <w:num w:numId="16">
    <w:abstractNumId w:val="18"/>
  </w:num>
  <w:num w:numId="17">
    <w:abstractNumId w:val="17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1F"/>
    <w:rsid w:val="001A1555"/>
    <w:rsid w:val="002B7C1F"/>
    <w:rsid w:val="004703F4"/>
    <w:rsid w:val="006053CC"/>
    <w:rsid w:val="0096424C"/>
    <w:rsid w:val="00B84207"/>
    <w:rsid w:val="00D40739"/>
    <w:rsid w:val="00D5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C8E15"/>
  <w15:chartTrackingRefBased/>
  <w15:docId w15:val="{DF81E867-7C5B-4D45-9541-DCE560D6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C1F"/>
  </w:style>
  <w:style w:type="paragraph" w:styleId="Footer">
    <w:name w:val="footer"/>
    <w:basedOn w:val="Normal"/>
    <w:link w:val="FooterChar"/>
    <w:uiPriority w:val="99"/>
    <w:unhideWhenUsed/>
    <w:rsid w:val="002B7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C1F"/>
  </w:style>
  <w:style w:type="paragraph" w:styleId="BalloonText">
    <w:name w:val="Balloon Text"/>
    <w:basedOn w:val="Normal"/>
    <w:link w:val="BalloonTextChar"/>
    <w:uiPriority w:val="99"/>
    <w:semiHidden/>
    <w:unhideWhenUsed/>
    <w:rsid w:val="00D5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3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urldefense.proofpoint.com%2Fv2%2Furl%3Fu%3Dhttp-3A__r20.rs6.net_tn.jsp-3Ff-3D001EQOwdwTqMCR1Mqg6cxOmjuSLoFu3VFoDssUASdG5Zw0ko9uZxRk3MlOH1LUCHq2Hj1u0HZlXRsE-5F4-5Fqc87YwU0AklZqi8NAyfXNBX2kx37W48AhgX3sT2g-5Fw-5FQD-2DE27ALRzJVrIl5lNpbShlb1A5xG8srsRauP-2D-5F6oBrh9mRTX4hTeAXMr8kMg-3D-3D-26c-3DfOQFZk5DtQ-5FXfSNGINVqN9jxkjkuWnwJTePsuYXZd16DIzyq8jiEVA-3D-3D-26ch-3DviV0pZPOdqBvK20B8DLcaTSRTCTuO-5FPMbAXmytSRQm14lreJWL-5FB8A-3D-3D%26d%3DDwMFaQ%26c%3DpRqH8TGe5XvVuak1ltMUzg%26r%3DxKtblE4UPAsUv7YqaffbxqFH-BvUBnigMpAQA4Wh4-w%26m%3DdotV1CmAfONg5QSXVVvqmD647umjFIKsUuxv7UkRjxA%26s%3D27dKFH4BEJSh9IXcXlnmEmmHTVWHMmTD5uEduaDELM4%26e%3D&amp;data=04%7C01%7Clatisha.gray%40atlanta.k12.ga.us%7C670e89587340456cceaf08d8cc53b261%7C0d95ef40a0dd431890985e10f876f635%7C0%7C0%7C637484007146755946%7CUnknown%7CTWFpbGZsb3d8eyJWIjoiMC4wLjAwMDAiLCJQIjoiV2luMzIiLCJBTiI6Ik1haWwiLCJXVCI6Mn0%3D%7C1000&amp;sdata=PJ6UTKJYMM4HleS7jX9FvR2tvZDfcEbZ2Kd%2BDhoxL1M%3D&amp;reserved=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t.ly/APSCOVIDTest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11.safelinks.protection.outlook.com/?url=http%3A%2F%2Fwww.atlantapublicschools.us%2Freopen&amp;data=04%7C01%7CLatisha.Gray%40atlanta.k12.ga.us%7C659f8e7a99f447da6b6308d8c1491c6e%7C0d95ef40a0dd431890985e10f876f635%7C0%7C0%7C637471867325698042%7CUnknown%7CTWFpbGZsb3d8eyJWIjoiMC4wLjAwMDAiLCJQIjoiV2luMzIiLCJBTiI6Ik1haWwiLCJXVCI6Mn0%3D%7C1000&amp;sdata=UWSauc43YjhJcdVCwsVJLi3oCdRMnZ0Fe7ve1a0Wsgc%3D&amp;reserved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m11.safelinks.protection.outlook.com/?url=http%3A%2F%2Fwww.atlantapublicschools.us%2FAPSProtects&amp;data=04%7C01%7CLatisha.Gray%40atlanta.k12.ga.us%7C659f8e7a99f447da6b6308d8c1491c6e%7C0d95ef40a0dd431890985e10f876f635%7C0%7C0%7C637471867325688046%7CUnknown%7CTWFpbGZsb3d8eyJWIjoiMC4wLjAwMDAiLCJQIjoiV2luMzIiLCJBTiI6Ik1haWwiLCJXVCI6Mn0%3D%7C1000&amp;sdata=nZIlVIDEo4%2BZB92bvWEtp5QnicPwkPZyKOqrurpxe2w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APSCOVIDTest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00D7-0B0F-48D4-AFFF-0CD8B352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Keisha</dc:creator>
  <cp:keywords/>
  <dc:description/>
  <cp:lastModifiedBy>Gibbons, Keisha</cp:lastModifiedBy>
  <cp:revision>2</cp:revision>
  <cp:lastPrinted>2021-02-18T15:55:00Z</cp:lastPrinted>
  <dcterms:created xsi:type="dcterms:W3CDTF">2021-02-18T16:08:00Z</dcterms:created>
  <dcterms:modified xsi:type="dcterms:W3CDTF">2021-02-18T16:08:00Z</dcterms:modified>
</cp:coreProperties>
</file>